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82" w:rsidRDefault="007066E5" w:rsidP="00D81282">
      <w:pPr>
        <w:pStyle w:val="2"/>
        <w:ind w:right="-284"/>
      </w:pPr>
      <w:bookmarkStart w:id="0" w:name="_GoBack"/>
      <w:bookmarkEnd w:id="0"/>
      <w:r w:rsidRPr="000566F2">
        <w:rPr>
          <w:noProof/>
        </w:rPr>
        <w:drawing>
          <wp:inline distT="0" distB="0" distL="0" distR="0">
            <wp:extent cx="485775" cy="6286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82" w:rsidRDefault="00D81282" w:rsidP="00D81282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506E25">
        <w:rPr>
          <w:rFonts w:ascii="Times New Roman" w:hAnsi="Times New Roman"/>
          <w:b/>
          <w:sz w:val="28"/>
          <w:szCs w:val="28"/>
        </w:rPr>
        <w:t>АДМИНИСТРАЦИЯ</w:t>
      </w:r>
    </w:p>
    <w:p w:rsidR="00D81282" w:rsidRDefault="00D81282" w:rsidP="00D81282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81282" w:rsidRDefault="00D81282" w:rsidP="00D81282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СЕЛЬСКОЕ ПОСЕЛЕНИЕ</w:t>
      </w:r>
    </w:p>
    <w:p w:rsidR="00D81282" w:rsidRPr="00506E25" w:rsidRDefault="00D81282" w:rsidP="00D81282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ПЕТРОВСКИЙ СЕЛЬСОВЕТ</w:t>
      </w:r>
    </w:p>
    <w:p w:rsidR="00D81282" w:rsidRDefault="00D81282" w:rsidP="00D81282">
      <w:pPr>
        <w:pStyle w:val="af3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/>
          <w:b/>
          <w:bCs/>
          <w:caps/>
          <w:sz w:val="28"/>
          <w:szCs w:val="28"/>
        </w:rPr>
        <w:t xml:space="preserve">САРАКТАШСКОГО РАЙОНА </w:t>
      </w:r>
    </w:p>
    <w:p w:rsidR="00D81282" w:rsidRPr="00506E25" w:rsidRDefault="00D81282" w:rsidP="00D81282">
      <w:pPr>
        <w:pStyle w:val="af3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/>
          <w:b/>
          <w:bCs/>
          <w:caps/>
          <w:sz w:val="28"/>
          <w:szCs w:val="28"/>
        </w:rPr>
        <w:t>ОРЕНБУРГСКОЙ ОБЛАСТИ</w:t>
      </w:r>
    </w:p>
    <w:p w:rsidR="00D81282" w:rsidRPr="00506E25" w:rsidRDefault="00D81282" w:rsidP="00D81282">
      <w:pPr>
        <w:pStyle w:val="af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1282" w:rsidRPr="00506E25" w:rsidRDefault="00D81282" w:rsidP="00D81282">
      <w:pPr>
        <w:pStyle w:val="af3"/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506E25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D81282" w:rsidRPr="00C341E1" w:rsidRDefault="006A7162" w:rsidP="00D81282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июн</w:t>
      </w:r>
      <w:r w:rsidR="00D30F2C" w:rsidRPr="00D30F2C">
        <w:rPr>
          <w:rFonts w:ascii="Times New Roman" w:hAnsi="Times New Roman"/>
          <w:sz w:val="28"/>
          <w:szCs w:val="28"/>
        </w:rPr>
        <w:t xml:space="preserve">я </w:t>
      </w:r>
      <w:r w:rsidR="00D81282" w:rsidRPr="00D30F2C">
        <w:rPr>
          <w:rFonts w:ascii="Times New Roman" w:hAnsi="Times New Roman"/>
          <w:sz w:val="28"/>
          <w:szCs w:val="28"/>
        </w:rPr>
        <w:t xml:space="preserve">2023 </w:t>
      </w:r>
      <w:r w:rsidR="00D30F2C" w:rsidRPr="00D30F2C">
        <w:rPr>
          <w:rFonts w:ascii="Times New Roman" w:hAnsi="Times New Roman"/>
          <w:sz w:val="28"/>
          <w:szCs w:val="28"/>
        </w:rPr>
        <w:t>года</w:t>
      </w:r>
      <w:r w:rsidR="00D81282" w:rsidRPr="00D30F2C">
        <w:rPr>
          <w:rFonts w:ascii="Times New Roman" w:hAnsi="Times New Roman"/>
          <w:sz w:val="28"/>
          <w:szCs w:val="28"/>
        </w:rPr>
        <w:t xml:space="preserve">       </w:t>
      </w:r>
      <w:r w:rsidR="00D81282" w:rsidRPr="00D30F2C">
        <w:rPr>
          <w:rFonts w:ascii="Times New Roman" w:hAnsi="Times New Roman"/>
          <w:sz w:val="28"/>
          <w:szCs w:val="28"/>
        </w:rPr>
        <w:tab/>
        <w:t xml:space="preserve">                 с. </w:t>
      </w:r>
      <w:r w:rsidR="00D81282" w:rsidRPr="00C341E1">
        <w:rPr>
          <w:rFonts w:ascii="Times New Roman" w:hAnsi="Times New Roman"/>
          <w:sz w:val="28"/>
          <w:szCs w:val="28"/>
        </w:rPr>
        <w:t xml:space="preserve">Петровское        </w:t>
      </w:r>
      <w:r w:rsidR="00C341E1" w:rsidRPr="00C341E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 44</w:t>
      </w:r>
      <w:r w:rsidR="00D81282" w:rsidRPr="00C341E1">
        <w:rPr>
          <w:rFonts w:ascii="Times New Roman" w:hAnsi="Times New Roman"/>
          <w:sz w:val="28"/>
          <w:szCs w:val="28"/>
        </w:rPr>
        <w:t>-п</w:t>
      </w:r>
    </w:p>
    <w:p w:rsidR="00D81282" w:rsidRPr="00A134BA" w:rsidRDefault="00D81282" w:rsidP="00D81282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D81282" w:rsidRDefault="00D81282" w:rsidP="00D81282">
      <w:pPr>
        <w:rPr>
          <w:sz w:val="28"/>
          <w:szCs w:val="28"/>
        </w:rPr>
      </w:pPr>
    </w:p>
    <w:p w:rsidR="0077256B" w:rsidRDefault="0077256B" w:rsidP="0077256B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594"/>
      </w:tblGrid>
      <w:tr w:rsidR="001D5FEE" w:rsidTr="00BE00CC">
        <w:trPr>
          <w:jc w:val="center"/>
        </w:trPr>
        <w:tc>
          <w:tcPr>
            <w:tcW w:w="7594" w:type="dxa"/>
          </w:tcPr>
          <w:p w:rsidR="001D5FEE" w:rsidRPr="00C20E63" w:rsidRDefault="00BE00CC" w:rsidP="00ED51B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</w:t>
            </w:r>
            <w:r w:rsidR="00D81282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Петров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сельсовет Саракташского района Оренбургской области»</w:t>
            </w:r>
          </w:p>
        </w:tc>
      </w:tr>
    </w:tbl>
    <w:p w:rsidR="005F1D21" w:rsidRDefault="005F1D21" w:rsidP="00ED51BA">
      <w:pPr>
        <w:shd w:val="clear" w:color="auto" w:fill="FFFFFF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99" w:rsidRPr="00D02C18" w:rsidRDefault="00B21C99" w:rsidP="00ED51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1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D02C18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14.01.1993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C18">
        <w:rPr>
          <w:rFonts w:ascii="Times New Roman" w:hAnsi="Times New Roman" w:cs="Times New Roman"/>
          <w:sz w:val="28"/>
          <w:szCs w:val="28"/>
        </w:rPr>
        <w:t xml:space="preserve"> 4292-1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2C18">
        <w:rPr>
          <w:rFonts w:ascii="Times New Roman" w:hAnsi="Times New Roman" w:cs="Times New Roman"/>
          <w:sz w:val="28"/>
          <w:szCs w:val="28"/>
        </w:rPr>
        <w:t>Об увековечении памяти погибших при защите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C18">
        <w:rPr>
          <w:rFonts w:ascii="Times New Roman" w:hAnsi="Times New Roman" w:cs="Times New Roman"/>
          <w:sz w:val="28"/>
          <w:szCs w:val="28"/>
        </w:rPr>
        <w:t>, Уставом муниципального образования</w:t>
      </w:r>
      <w:r w:rsidR="00D81282">
        <w:rPr>
          <w:rFonts w:ascii="Times New Roman" w:hAnsi="Times New Roman" w:cs="Times New Roman"/>
          <w:sz w:val="28"/>
          <w:szCs w:val="28"/>
        </w:rPr>
        <w:t xml:space="preserve"> Петров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 Саракташского района Оренбургской области, в целях сохранения и благоустройства воинских захоронений, мемориальных сооружений и объектов, увековечивающих память погибших при защите Отечества, захороненных на  территории сельского поселения </w:t>
      </w:r>
      <w:r w:rsidR="00D8128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</w:t>
      </w:r>
      <w:r w:rsidRPr="00D02C18">
        <w:rPr>
          <w:rFonts w:ascii="Times New Roman" w:hAnsi="Times New Roman" w:cs="Times New Roman"/>
          <w:sz w:val="28"/>
          <w:szCs w:val="28"/>
        </w:rPr>
        <w:t>:</w:t>
      </w:r>
    </w:p>
    <w:p w:rsidR="00C20E63" w:rsidRPr="00C20E63" w:rsidRDefault="00C20E63" w:rsidP="00ED51BA">
      <w:pPr>
        <w:tabs>
          <w:tab w:val="left" w:pos="720"/>
          <w:tab w:val="left" w:pos="9354"/>
          <w:tab w:val="left" w:pos="1034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C99" w:rsidRDefault="00C20E63" w:rsidP="00ED51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D54">
        <w:rPr>
          <w:rFonts w:ascii="Times New Roman" w:hAnsi="Times New Roman" w:cs="Times New Roman"/>
          <w:sz w:val="28"/>
          <w:szCs w:val="28"/>
        </w:rPr>
        <w:t>1.</w:t>
      </w:r>
      <w:r w:rsidR="00B21C99" w:rsidRPr="00D02C18">
        <w:rPr>
          <w:rFonts w:ascii="Times New Roman" w:hAnsi="Times New Roman" w:cs="Times New Roman"/>
          <w:sz w:val="28"/>
          <w:szCs w:val="28"/>
        </w:rPr>
        <w:t xml:space="preserve"> Утвердить Положение об организации и осуществлении мероприятий по увековечению памяти погибших при защите Отечества</w:t>
      </w:r>
      <w:r w:rsidR="00B21C99">
        <w:rPr>
          <w:rFonts w:ascii="Times New Roman" w:hAnsi="Times New Roman" w:cs="Times New Roman"/>
          <w:sz w:val="28"/>
          <w:szCs w:val="28"/>
        </w:rPr>
        <w:t xml:space="preserve">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</w:r>
      <w:r w:rsidR="00D81282">
        <w:rPr>
          <w:rFonts w:ascii="Times New Roman" w:hAnsi="Times New Roman" w:cs="Times New Roman"/>
          <w:sz w:val="28"/>
          <w:szCs w:val="28"/>
        </w:rPr>
        <w:t>Петров</w:t>
      </w:r>
      <w:r w:rsidR="00B21C99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области, согласно приложению.</w:t>
      </w:r>
    </w:p>
    <w:p w:rsidR="00ED51BA" w:rsidRPr="00D02C18" w:rsidRDefault="00ED51BA" w:rsidP="00ED51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C99" w:rsidRDefault="00B21C99" w:rsidP="00ED51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02C18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Инф</w:t>
      </w:r>
      <w:r w:rsidR="00D81282">
        <w:rPr>
          <w:rFonts w:ascii="Times New Roman" w:hAnsi="Times New Roman" w:cs="Times New Roman"/>
          <w:sz w:val="28"/>
          <w:szCs w:val="28"/>
        </w:rPr>
        <w:t>ормационном бюллетене «Петров</w:t>
      </w:r>
      <w:r>
        <w:rPr>
          <w:rFonts w:ascii="Times New Roman" w:hAnsi="Times New Roman" w:cs="Times New Roman"/>
          <w:sz w:val="28"/>
          <w:szCs w:val="28"/>
        </w:rPr>
        <w:t>ский сельсовет» и подлежит размещению на сайте администрации Воздвиженского сельсовета</w:t>
      </w:r>
      <w:r w:rsidRPr="00D02C18">
        <w:rPr>
          <w:rFonts w:ascii="Times New Roman" w:hAnsi="Times New Roman" w:cs="Times New Roman"/>
          <w:sz w:val="28"/>
          <w:szCs w:val="28"/>
        </w:rPr>
        <w:t>.</w:t>
      </w:r>
    </w:p>
    <w:p w:rsidR="00ED51BA" w:rsidRDefault="00ED51BA" w:rsidP="00ED51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C99" w:rsidRDefault="00B21C99" w:rsidP="00ED51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2C18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D02C18">
        <w:rPr>
          <w:rFonts w:ascii="Times New Roman" w:hAnsi="Times New Roman" w:cs="Times New Roman"/>
          <w:sz w:val="28"/>
          <w:szCs w:val="28"/>
        </w:rPr>
        <w:t>.</w:t>
      </w:r>
    </w:p>
    <w:p w:rsidR="00DA4D54" w:rsidRPr="00DA4D54" w:rsidRDefault="00DA4D54" w:rsidP="00ED51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C71" w:rsidRDefault="00C66C71" w:rsidP="00ED51B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8B8" w:rsidRDefault="008618B8" w:rsidP="00B21C9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1F3B" w:rsidRPr="008E150E" w:rsidRDefault="005F1D21" w:rsidP="00B21C9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E30633">
        <w:rPr>
          <w:rFonts w:ascii="Times New Roman" w:hAnsi="Times New Roman" w:cs="Times New Roman"/>
          <w:bCs/>
          <w:sz w:val="28"/>
          <w:szCs w:val="28"/>
        </w:rPr>
        <w:t xml:space="preserve">  сельсовета</w:t>
      </w:r>
      <w:r w:rsidR="00E81F3B" w:rsidRPr="008E150E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8E150E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8E150E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8E150E">
        <w:rPr>
          <w:rFonts w:ascii="Times New Roman" w:hAnsi="Times New Roman" w:cs="Times New Roman"/>
          <w:bCs/>
          <w:sz w:val="28"/>
          <w:szCs w:val="28"/>
        </w:rPr>
        <w:tab/>
      </w:r>
      <w:r w:rsidR="00C66C71">
        <w:rPr>
          <w:rFonts w:ascii="Times New Roman" w:hAnsi="Times New Roman" w:cs="Times New Roman"/>
          <w:bCs/>
          <w:sz w:val="28"/>
          <w:szCs w:val="28"/>
        </w:rPr>
        <w:tab/>
      </w:r>
      <w:r w:rsidR="001F223B">
        <w:rPr>
          <w:rFonts w:ascii="Times New Roman" w:hAnsi="Times New Roman" w:cs="Times New Roman"/>
          <w:bCs/>
          <w:sz w:val="28"/>
          <w:szCs w:val="28"/>
        </w:rPr>
        <w:tab/>
      </w:r>
      <w:r w:rsidR="001F223B">
        <w:rPr>
          <w:rFonts w:ascii="Times New Roman" w:hAnsi="Times New Roman" w:cs="Times New Roman"/>
          <w:bCs/>
          <w:sz w:val="28"/>
          <w:szCs w:val="28"/>
        </w:rPr>
        <w:tab/>
      </w:r>
      <w:r w:rsidR="00D81282">
        <w:rPr>
          <w:rFonts w:ascii="Times New Roman" w:hAnsi="Times New Roman" w:cs="Times New Roman"/>
          <w:bCs/>
          <w:sz w:val="28"/>
          <w:szCs w:val="28"/>
        </w:rPr>
        <w:t>О.А. Митюшникова</w:t>
      </w:r>
    </w:p>
    <w:p w:rsidR="005A4B46" w:rsidRPr="008E150E" w:rsidRDefault="005A4B46" w:rsidP="00B21C9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0E7A" w:rsidRDefault="001B10A1" w:rsidP="00B21C9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Разослано: прокуратуре рай</w:t>
      </w:r>
      <w:r w:rsidR="001D5FEE">
        <w:rPr>
          <w:rFonts w:ascii="Times New Roman" w:hAnsi="Times New Roman" w:cs="Times New Roman"/>
          <w:bCs/>
          <w:sz w:val="28"/>
          <w:szCs w:val="28"/>
        </w:rPr>
        <w:t>она</w:t>
      </w:r>
      <w:r w:rsidR="004C4D8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81282">
        <w:rPr>
          <w:rFonts w:ascii="Times New Roman" w:hAnsi="Times New Roman" w:cs="Times New Roman"/>
          <w:sz w:val="28"/>
          <w:szCs w:val="28"/>
        </w:rPr>
        <w:t>сайт администрации Петров</w:t>
      </w:r>
      <w:r w:rsidR="00B21C99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E61309" w:rsidRDefault="00E61309" w:rsidP="00B21C99">
      <w:pPr>
        <w:shd w:val="clear" w:color="auto" w:fill="FFFFFF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61309" w:rsidRDefault="00E61309" w:rsidP="00B21C99">
      <w:pPr>
        <w:shd w:val="clear" w:color="auto" w:fill="FFFFFF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61309" w:rsidRDefault="00E61309" w:rsidP="00E61309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  <w:sectPr w:rsidR="00E61309" w:rsidSect="00150E7A">
          <w:headerReference w:type="even" r:id="rId8"/>
          <w:headerReference w:type="default" r:id="rId9"/>
          <w:pgSz w:w="11907" w:h="16840" w:code="9"/>
          <w:pgMar w:top="567" w:right="851" w:bottom="1134" w:left="1701" w:header="720" w:footer="720" w:gutter="0"/>
          <w:cols w:space="60"/>
          <w:noEndnote/>
          <w:titlePg/>
          <w:docGrid w:linePitch="272"/>
        </w:sectPr>
      </w:pPr>
    </w:p>
    <w:p w:rsidR="00F1551E" w:rsidRPr="008E150E" w:rsidRDefault="00F1551E" w:rsidP="002849B9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A4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51E" w:rsidRDefault="00F1551E" w:rsidP="002849B9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t xml:space="preserve">к </w:t>
      </w:r>
      <w:r w:rsidR="001F223B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18B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1551E" w:rsidRPr="008E150E" w:rsidRDefault="00D81282" w:rsidP="002849B9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="00F1551E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F1551E" w:rsidRPr="00C341E1" w:rsidRDefault="002849B9" w:rsidP="002849B9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 w:rsidRPr="00D812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1551E" w:rsidRPr="00D30F2C">
        <w:rPr>
          <w:rFonts w:ascii="Times New Roman" w:hAnsi="Times New Roman" w:cs="Times New Roman"/>
          <w:sz w:val="28"/>
          <w:szCs w:val="28"/>
        </w:rPr>
        <w:t xml:space="preserve">от </w:t>
      </w:r>
      <w:r w:rsidR="006A7162">
        <w:rPr>
          <w:rFonts w:ascii="Times New Roman" w:hAnsi="Times New Roman" w:cs="Times New Roman"/>
          <w:sz w:val="28"/>
          <w:szCs w:val="28"/>
        </w:rPr>
        <w:t>6 июн</w:t>
      </w:r>
      <w:r w:rsidR="00D30F2C" w:rsidRPr="00D30F2C">
        <w:rPr>
          <w:rFonts w:ascii="Times New Roman" w:hAnsi="Times New Roman" w:cs="Times New Roman"/>
          <w:sz w:val="28"/>
          <w:szCs w:val="28"/>
        </w:rPr>
        <w:t xml:space="preserve">я </w:t>
      </w:r>
      <w:r w:rsidR="00F1551E" w:rsidRPr="00D30F2C">
        <w:rPr>
          <w:rFonts w:ascii="Times New Roman" w:hAnsi="Times New Roman" w:cs="Times New Roman"/>
          <w:sz w:val="28"/>
          <w:szCs w:val="28"/>
        </w:rPr>
        <w:t>20</w:t>
      </w:r>
      <w:r w:rsidR="00DA4D54" w:rsidRPr="00D30F2C">
        <w:rPr>
          <w:rFonts w:ascii="Times New Roman" w:hAnsi="Times New Roman" w:cs="Times New Roman"/>
          <w:sz w:val="28"/>
          <w:szCs w:val="28"/>
        </w:rPr>
        <w:t>23</w:t>
      </w:r>
      <w:r w:rsidR="00D30F2C" w:rsidRPr="00D30F2C">
        <w:rPr>
          <w:rFonts w:ascii="Times New Roman" w:hAnsi="Times New Roman" w:cs="Times New Roman"/>
          <w:sz w:val="28"/>
          <w:szCs w:val="28"/>
        </w:rPr>
        <w:t xml:space="preserve"> </w:t>
      </w:r>
      <w:r w:rsidR="00D30F2C" w:rsidRPr="00C341E1">
        <w:rPr>
          <w:rFonts w:ascii="Times New Roman" w:hAnsi="Times New Roman" w:cs="Times New Roman"/>
          <w:sz w:val="28"/>
          <w:szCs w:val="28"/>
        </w:rPr>
        <w:t>года</w:t>
      </w:r>
      <w:r w:rsidR="00F1551E" w:rsidRPr="00C341E1">
        <w:rPr>
          <w:rFonts w:ascii="Times New Roman" w:hAnsi="Times New Roman" w:cs="Times New Roman"/>
          <w:sz w:val="28"/>
          <w:szCs w:val="28"/>
        </w:rPr>
        <w:t xml:space="preserve"> № </w:t>
      </w:r>
      <w:r w:rsidR="006A7162">
        <w:rPr>
          <w:rFonts w:ascii="Times New Roman" w:hAnsi="Times New Roman" w:cs="Times New Roman"/>
          <w:sz w:val="28"/>
          <w:szCs w:val="28"/>
        </w:rPr>
        <w:t>44</w:t>
      </w:r>
      <w:r w:rsidR="004E3B6B" w:rsidRPr="00C341E1">
        <w:rPr>
          <w:rFonts w:ascii="Times New Roman" w:hAnsi="Times New Roman" w:cs="Times New Roman"/>
          <w:sz w:val="28"/>
          <w:szCs w:val="28"/>
        </w:rPr>
        <w:t>-</w:t>
      </w:r>
      <w:r w:rsidR="00CB09C2" w:rsidRPr="00C341E1">
        <w:rPr>
          <w:rFonts w:ascii="Times New Roman" w:hAnsi="Times New Roman" w:cs="Times New Roman"/>
          <w:sz w:val="28"/>
          <w:szCs w:val="28"/>
        </w:rPr>
        <w:t>п</w:t>
      </w:r>
    </w:p>
    <w:p w:rsidR="00E81F3B" w:rsidRPr="00C341E1" w:rsidRDefault="00E81F3B" w:rsidP="008618B8">
      <w:pPr>
        <w:shd w:val="clear" w:color="auto" w:fill="FFFFFF"/>
        <w:ind w:left="5200" w:hanging="300"/>
        <w:rPr>
          <w:rFonts w:ascii="Times New Roman" w:hAnsi="Times New Roman" w:cs="Times New Roman"/>
          <w:bCs/>
          <w:sz w:val="28"/>
          <w:szCs w:val="28"/>
        </w:rPr>
      </w:pPr>
    </w:p>
    <w:p w:rsidR="00ED51BA" w:rsidRPr="00ED51BA" w:rsidRDefault="00ED51BA" w:rsidP="00ED51BA">
      <w:pPr>
        <w:shd w:val="clear" w:color="auto" w:fill="FFFFFF"/>
        <w:ind w:left="709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1B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1551E" w:rsidRDefault="00ED51BA" w:rsidP="00D81282">
      <w:pPr>
        <w:shd w:val="clear" w:color="auto" w:fill="FFFFFF"/>
        <w:ind w:left="709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1BA">
        <w:rPr>
          <w:rFonts w:ascii="Times New Roman" w:hAnsi="Times New Roman" w:cs="Times New Roman"/>
          <w:b/>
          <w:sz w:val="28"/>
          <w:szCs w:val="28"/>
        </w:rPr>
        <w:t>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</w:t>
      </w:r>
      <w:r w:rsidR="00D81282">
        <w:rPr>
          <w:rFonts w:ascii="Times New Roman" w:hAnsi="Times New Roman" w:cs="Times New Roman"/>
          <w:b/>
          <w:sz w:val="28"/>
          <w:szCs w:val="28"/>
        </w:rPr>
        <w:t>ципального образования Петров</w:t>
      </w:r>
      <w:r w:rsidRPr="00ED51BA">
        <w:rPr>
          <w:rFonts w:ascii="Times New Roman" w:hAnsi="Times New Roman" w:cs="Times New Roman"/>
          <w:b/>
          <w:sz w:val="28"/>
          <w:szCs w:val="28"/>
        </w:rPr>
        <w:t>ский сельсовет Саракташского района Оренбургской области</w:t>
      </w:r>
    </w:p>
    <w:p w:rsidR="00ED51BA" w:rsidRDefault="00ED51BA" w:rsidP="00ED51BA">
      <w:pPr>
        <w:shd w:val="clear" w:color="auto" w:fill="FFFFFF"/>
        <w:ind w:left="709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1BA" w:rsidRDefault="00ED51BA" w:rsidP="00ED51BA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3168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D51BA" w:rsidRPr="0083168D" w:rsidRDefault="00ED51BA" w:rsidP="00BA35EC">
      <w:pPr>
        <w:ind w:left="1429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68D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71852">
        <w:rPr>
          <w:rFonts w:ascii="Times New Roman" w:hAnsi="Times New Roman" w:cs="Times New Roman"/>
          <w:sz w:val="28"/>
          <w:szCs w:val="28"/>
        </w:rPr>
        <w:t>Законом</w:t>
      </w:r>
      <w:r w:rsidRPr="0083168D">
        <w:rPr>
          <w:rFonts w:ascii="Times New Roman" w:hAnsi="Times New Roman" w:cs="Times New Roman"/>
          <w:sz w:val="28"/>
          <w:szCs w:val="28"/>
        </w:rPr>
        <w:t xml:space="preserve"> Российской Федерации от 14.01.1993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3168D">
        <w:rPr>
          <w:rFonts w:ascii="Times New Roman" w:hAnsi="Times New Roman" w:cs="Times New Roman"/>
          <w:sz w:val="28"/>
          <w:szCs w:val="28"/>
        </w:rPr>
        <w:t xml:space="preserve"> 4292-1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168D">
        <w:rPr>
          <w:rFonts w:ascii="Times New Roman" w:hAnsi="Times New Roman" w:cs="Times New Roman"/>
          <w:sz w:val="28"/>
          <w:szCs w:val="28"/>
        </w:rPr>
        <w:t>Об увековечении памяти погибших при защите Отечества</w:t>
      </w:r>
      <w:r>
        <w:rPr>
          <w:rFonts w:ascii="Times New Roman" w:hAnsi="Times New Roman" w:cs="Times New Roman"/>
          <w:sz w:val="28"/>
          <w:szCs w:val="28"/>
        </w:rPr>
        <w:t>», иными нормативными правовыми актами Российской Федерации, регулирующими вопросы сохранения и содержания военных могил и воинских захоронений, и определяет порядок организации и осуществления мероприятий по увековечению памяти погибших при защите Отечества,  регламентирует вопросы обеспечения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</w:t>
      </w:r>
      <w:r w:rsidR="00D81282">
        <w:rPr>
          <w:rFonts w:ascii="Times New Roman" w:hAnsi="Times New Roman" w:cs="Times New Roman"/>
          <w:sz w:val="28"/>
          <w:szCs w:val="28"/>
        </w:rPr>
        <w:t>ципального образования 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области.</w:t>
      </w:r>
    </w:p>
    <w:p w:rsidR="00ED51BA" w:rsidRDefault="00D81282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Администрация Петров</w:t>
      </w:r>
      <w:r w:rsidR="00ED51BA">
        <w:rPr>
          <w:rFonts w:ascii="Times New Roman" w:hAnsi="Times New Roman" w:cs="Times New Roman"/>
          <w:sz w:val="28"/>
          <w:szCs w:val="28"/>
        </w:rPr>
        <w:t>ского сельсовета Саракташского района Оренбургской области в пределах своей компетенции осуществляет мероприятия по увековечению памяти погибших при защите Отечества,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расположены на территор</w:t>
      </w:r>
      <w:r>
        <w:rPr>
          <w:rFonts w:ascii="Times New Roman" w:hAnsi="Times New Roman" w:cs="Times New Roman"/>
          <w:sz w:val="28"/>
          <w:szCs w:val="28"/>
        </w:rPr>
        <w:t>ии сельского поселения Петров</w:t>
      </w:r>
      <w:r w:rsidR="00ED51BA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виду отсутствия на территор</w:t>
      </w:r>
      <w:r w:rsidR="00D81282">
        <w:rPr>
          <w:rFonts w:ascii="Times New Roman" w:hAnsi="Times New Roman" w:cs="Times New Roman"/>
          <w:sz w:val="28"/>
          <w:szCs w:val="28"/>
        </w:rPr>
        <w:t>ии сельского поселения 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 военных кладбищ, военных мемориальных кладбищ, захоронение погибших, обнаруженных при проведении поисковых работ, осуществляется на воинском участке кладбища традиционного захоронения сельского кладбища.</w:t>
      </w:r>
    </w:p>
    <w:p w:rsidR="00ED51BA" w:rsidRDefault="00ED51BA" w:rsidP="00ED51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1BA" w:rsidRPr="0083168D" w:rsidRDefault="00ED51BA" w:rsidP="00ED51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Порядок учета воинских захоронений, мемориальных сооружений и объектов, увековечивающих память погибших при защите Отечества</w:t>
      </w:r>
    </w:p>
    <w:p w:rsidR="00ED51BA" w:rsidRPr="0083168D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68D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сооружениями, и объектами, являются воинскими захоронениями. К ним относятся: военные мемориальные кладбища, отдельные воинские участки на общих кладбищах, братские и индивидуальные могилы на общих кладбищах и вне кладбищ, колумбарии и урны с прахом погибших.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Учету подлежат все воинские захоронения, мемориальные сооружения и объекты. На территории сельского поселения </w:t>
      </w:r>
      <w:r w:rsidR="00D8128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 Саракташского района Оренбургской области их учет ведется </w:t>
      </w:r>
      <w:r w:rsidR="00761F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D8128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ского сельсовета.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воинских захоронений, мемориальных сооружений и объектов включает выявление, обследование, определение их исторической, научной, художественной или иной культурной ценности, фиксацию и изучение, составление документов муниципального учета.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муниципального учета мемориальных сооружений и объектов подлежат постоянному хранению.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8128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ского сельсовета Саракташского района Оренбургской области ведется учетная ведомость воинских захоронений по форме согласно приложению № 1 к настоящему Положению.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каждое воинское захоронение, мемориальное сооружение или объект составляется паспорт (приложение № 2) и устанавливается информационный стенд – мемориальный знак.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Паспорт является учетным документом, содержащим сумму научных сведений и фактических данных, характеризующих воинское захоронение, историю мемориального сооружения или объекта, его современное состояние, местонахождение, оценку исторического, научного, художественного или иного культурного значения. Также в паспорте указываются иные сведения, касающиеся воинских захоронений, мемориальных сооружений и объектов. Паспорт может содержать зарисовку или фотографию воинского захоронения, мемориального сооружения и объекта.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для каждого воинского захоронения, мемориального сооружения или объекта составляется в двух экземплярах. Первый экземпляр хранится в </w:t>
      </w:r>
      <w:r w:rsidR="00761F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D8128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области, второй – в отделе военного комиссариата по Саракташскому и Беляевскому районам.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Мемориальный знак изготавливается в виде прямоугольной пластины с нанесением на нее надписей и обозначений методом, обеспечивающим их хорошую читаемость, различаемость и длительную сохранность. Пластина должна иметь технически надежное крепление, исключающее возможность разрушения или уничтожения воинского захоронения, и обеспечивающая прочность установки на нем информационных надписей и обозначений с учетом возможных динамических нагрузок. Информационные надписи должны содержать: вид воинского захоронения; полное наименование воинского захоронения в строгом соответствии с его написанием в перечне объектов по увековечению памяти погибших при защите Отечества, расположенных на территор</w:t>
      </w:r>
      <w:r w:rsidR="00D81282">
        <w:rPr>
          <w:rFonts w:ascii="Times New Roman" w:hAnsi="Times New Roman" w:cs="Times New Roman"/>
          <w:sz w:val="28"/>
          <w:szCs w:val="28"/>
        </w:rPr>
        <w:t>ии сельского поселения 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области; сведения о времени возникновения или дате создания воинского захоронения; краткие исторические события, предшествующие созданию воинского захоронения, связанных с ним исторических событий; информацию  о регистрации воинского захоронения; информацию о границах воинского захоронения; информацию о собственнике воинского захоронения и ответственном органе местного самоуправления (организации, учреждении) за содержание воинского захоронения; слова «Подлежит государственной охране. Лица, причинившие вред воинскому захоронению, несут в соответствии с законодательством Российской Федерации уголовную, административную и иную ответственность».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пластины выше информационных надписей располагается эмблема воинского захоронения. Возможно нанесение дополнительных пояснений к основной информации, которые наносятся ниже основных информационных надписей и обозначений.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расположения мемориального знака должно быть доступно для прочтения и внешним видом согласовываться с воинским захоронением.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Установленный на воинском захоронении знак может быть демонтирован (устранен) по решению администрации сельского поселения Воздвиженский сельсовет Саракташского района Оренбургской области в случае: ремонта знака, замены информационных надписей и обозначений или проведения работ при реконструкции (ремонте) воинского захоронения.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Уполномоченный специалист администрации Воздвиженского сельсовета ведет реестр воинских захоронений, увековечивающих память погибших при защите Отечества и находящихся на территории сельского поселения Воздвиженский сельсовет Саракташского района Оренбургской области.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Pr="00ED51BA" w:rsidRDefault="00ED51BA" w:rsidP="00BA35EC">
      <w:pPr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Содержание, сохранность и благоустройство воинских </w:t>
      </w:r>
    </w:p>
    <w:p w:rsidR="00ED51BA" w:rsidRPr="00ED51BA" w:rsidRDefault="00ED51BA" w:rsidP="00ED51BA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захоронений, мемориальных сооружений и объектов,</w:t>
      </w:r>
    </w:p>
    <w:p w:rsidR="00ED51BA" w:rsidRDefault="00ED51BA" w:rsidP="00ED51BA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увековечивающих память погибших при защите Отечества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на территор</w:t>
      </w:r>
      <w:r w:rsidR="00D81282">
        <w:rPr>
          <w:rFonts w:ascii="Times New Roman" w:hAnsi="Times New Roman" w:cs="Times New Roman"/>
          <w:sz w:val="28"/>
          <w:szCs w:val="28"/>
        </w:rPr>
        <w:t>ии сельского поселения Петров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 Саракташского района Оренбургской области, в соответствии с действующим законодательством и настоящим Положением осуществляется </w:t>
      </w:r>
      <w:r w:rsidR="00761F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</w:t>
      </w:r>
      <w:r w:rsidR="00D81282">
        <w:rPr>
          <w:rFonts w:ascii="Times New Roman" w:hAnsi="Times New Roman" w:cs="Times New Roman"/>
          <w:sz w:val="28"/>
          <w:szCs w:val="28"/>
        </w:rPr>
        <w:t>ей сельского поселения 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Мероприятия по обеспечению сохранности воинских захоронений, мемориальных сооружений и объектов, увековечивающих память погибших при защите Отечества, включают: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и паспортизацию воинских захоронений, мемориальных сооружений и объектов, увековечивающих память при защите Отечества, расположенных на территор</w:t>
      </w:r>
      <w:r w:rsidR="00D81282">
        <w:rPr>
          <w:rFonts w:ascii="Times New Roman" w:hAnsi="Times New Roman" w:cs="Times New Roman"/>
          <w:sz w:val="28"/>
          <w:szCs w:val="28"/>
        </w:rPr>
        <w:t>ии сельского поселения 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области, не состоящих на государственной охране, как памятники истории и культуры;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в порядке воинских захоронений, мемориальных сооружений и объектов, увековечивающих память погибших при защите Отечества, расположенных на территории сельского поселения Воздвиженский сельсовет Саракташского района Оренбургской области;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производства работ по захоронению вновь обнаруженных останков, погибших при защите Отечества;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профилактической работы по предотвращению повреждений или осквернений воинских захоронений, мемориальных сооружений и объектов, увековечивающих память погибших при защите Отечества, расположенных на территории сельского поселения</w:t>
      </w:r>
      <w:r w:rsidR="00D81282">
        <w:rPr>
          <w:rFonts w:ascii="Times New Roman" w:hAnsi="Times New Roman" w:cs="Times New Roman"/>
          <w:sz w:val="28"/>
          <w:szCs w:val="28"/>
        </w:rPr>
        <w:t xml:space="preserve"> 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области;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охранных досок, мемориальных знаков на территории воинских захоронений, погибших при защите Отечества;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обеспечением сохранности воинских захоронений, мемориальных сооружений и объектов, увековечивающих память погибших при защите Отечества, в период проведения исследовательских и ремонтно-реставрационных работ;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согласование мероприятий по обеспечению сохранности при проведении строительных, земляных, дорожных и других хозяйственных работ, которые могут создать угрозу для сохранности воинских захоронений, мемориальных сооружений и объектов, увековечивающих память погибших при защите отечества, запрещается.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BA35EC">
      <w:pPr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и материально-техническое обеспечение мероприятий по увековечению памяти погибших при защите Отечества</w:t>
      </w:r>
    </w:p>
    <w:p w:rsidR="00BA35EC" w:rsidRDefault="00BA35EC" w:rsidP="00BA35EC">
      <w:pPr>
        <w:ind w:left="1429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Расходы на проведение мероприятий, связанных с увековечением памяти погибших при защите Отечества, осуществляется за счет средств местного бюджета в соответствии с компетенцией </w:t>
      </w:r>
      <w:r w:rsidR="00761F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D8128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области, а также добровольных взносов и пожертвований юридических и физических лиц.</w:t>
      </w: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FBC" w:rsidRDefault="00ED51BA" w:rsidP="00761FBC">
      <w:pPr>
        <w:ind w:left="28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61FBC" w:rsidRPr="00761FB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D51BA" w:rsidRDefault="00761FBC" w:rsidP="00761FBC">
      <w:pPr>
        <w:ind w:left="2869" w:hanging="34"/>
        <w:jc w:val="both"/>
        <w:rPr>
          <w:rFonts w:ascii="Times New Roman" w:hAnsi="Times New Roman" w:cs="Times New Roman"/>
          <w:sz w:val="28"/>
          <w:szCs w:val="28"/>
        </w:rPr>
      </w:pPr>
      <w:r w:rsidRPr="00761FBC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FBC">
        <w:rPr>
          <w:rFonts w:ascii="Times New Roman" w:hAnsi="Times New Roman" w:cs="Times New Roman"/>
          <w:sz w:val="28"/>
          <w:szCs w:val="28"/>
        </w:rPr>
        <w:t>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</w:t>
      </w:r>
      <w:r w:rsidR="00D81282">
        <w:rPr>
          <w:rFonts w:ascii="Times New Roman" w:hAnsi="Times New Roman" w:cs="Times New Roman"/>
          <w:sz w:val="28"/>
          <w:szCs w:val="28"/>
        </w:rPr>
        <w:t>ии муниципального образования Петров</w:t>
      </w:r>
      <w:r w:rsidRPr="00761FBC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</w:t>
      </w:r>
    </w:p>
    <w:p w:rsidR="00761FBC" w:rsidRDefault="00761FBC" w:rsidP="00ED5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61FBC" w:rsidRDefault="00ED51BA" w:rsidP="00ED51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учетной ведомости воинских захоронений на территор</w:t>
      </w:r>
      <w:r w:rsidR="00D81282">
        <w:rPr>
          <w:rFonts w:ascii="Times New Roman" w:hAnsi="Times New Roman" w:cs="Times New Roman"/>
          <w:sz w:val="28"/>
          <w:szCs w:val="28"/>
        </w:rPr>
        <w:t>ии сельского поселения Петров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 Саракташского района </w:t>
      </w:r>
    </w:p>
    <w:p w:rsidR="00ED51BA" w:rsidRDefault="00ED51BA" w:rsidP="00761F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D51BA" w:rsidRDefault="00ED51BA" w:rsidP="00ED51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714"/>
        <w:gridCol w:w="850"/>
        <w:gridCol w:w="992"/>
        <w:gridCol w:w="851"/>
        <w:gridCol w:w="1276"/>
        <w:gridCol w:w="1134"/>
        <w:gridCol w:w="1842"/>
      </w:tblGrid>
      <w:tr w:rsidR="00ED51BA" w:rsidTr="00761FBC">
        <w:trPr>
          <w:trHeight w:val="645"/>
        </w:trPr>
        <w:tc>
          <w:tcPr>
            <w:tcW w:w="562" w:type="dxa"/>
            <w:vMerge w:val="restart"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Номер паспорта</w:t>
            </w:r>
          </w:p>
        </w:tc>
        <w:tc>
          <w:tcPr>
            <w:tcW w:w="993" w:type="dxa"/>
            <w:vMerge w:val="restart"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Всего захоронений</w:t>
            </w:r>
          </w:p>
        </w:tc>
        <w:tc>
          <w:tcPr>
            <w:tcW w:w="1564" w:type="dxa"/>
            <w:gridSpan w:val="2"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3119" w:type="dxa"/>
            <w:gridSpan w:val="3"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Тип воинс</w:t>
            </w:r>
            <w:r w:rsidR="00761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кого захоронения</w:t>
            </w:r>
          </w:p>
        </w:tc>
        <w:tc>
          <w:tcPr>
            <w:tcW w:w="1842" w:type="dxa"/>
            <w:vMerge w:val="restart"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Краткое описание воинского захоронения</w:t>
            </w:r>
          </w:p>
        </w:tc>
      </w:tr>
      <w:tr w:rsidR="00ED51BA" w:rsidTr="00761FBC">
        <w:trPr>
          <w:trHeight w:val="645"/>
        </w:trPr>
        <w:tc>
          <w:tcPr>
            <w:tcW w:w="562" w:type="dxa"/>
            <w:vMerge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761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вестных</w:t>
            </w:r>
          </w:p>
        </w:tc>
        <w:tc>
          <w:tcPr>
            <w:tcW w:w="850" w:type="dxa"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неизвестных</w:t>
            </w:r>
          </w:p>
        </w:tc>
        <w:tc>
          <w:tcPr>
            <w:tcW w:w="992" w:type="dxa"/>
          </w:tcPr>
          <w:p w:rsidR="00ED51BA" w:rsidRPr="00ED51BA" w:rsidRDefault="00761FBC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D51BA" w:rsidRPr="00ED51BA">
              <w:rPr>
                <w:rFonts w:ascii="Times New Roman" w:hAnsi="Times New Roman" w:cs="Times New Roman"/>
                <w:sz w:val="28"/>
                <w:szCs w:val="28"/>
              </w:rPr>
              <w:t xml:space="preserve"> первую мировую войну</w:t>
            </w:r>
          </w:p>
        </w:tc>
        <w:tc>
          <w:tcPr>
            <w:tcW w:w="851" w:type="dxa"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В ВОВ</w:t>
            </w:r>
          </w:p>
        </w:tc>
        <w:tc>
          <w:tcPr>
            <w:tcW w:w="1276" w:type="dxa"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В иных боевых действиях (с указанием страны, региона)</w:t>
            </w:r>
          </w:p>
        </w:tc>
        <w:tc>
          <w:tcPr>
            <w:tcW w:w="1134" w:type="dxa"/>
            <w:vMerge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D51BA" w:rsidRPr="00ED51BA" w:rsidRDefault="00ED51BA" w:rsidP="00ED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51BA" w:rsidRDefault="00ED51BA" w:rsidP="00ED51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761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jc w:val="both"/>
        <w:rPr>
          <w:rFonts w:ascii="Times New Roman" w:hAnsi="Times New Roman" w:cs="Times New Roman"/>
          <w:sz w:val="28"/>
          <w:szCs w:val="28"/>
        </w:rPr>
        <w:sectPr w:rsidR="00ED51BA" w:rsidSect="005B2B4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61FBC" w:rsidRDefault="00761FBC" w:rsidP="00761FBC">
      <w:pPr>
        <w:ind w:left="28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B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61FBC" w:rsidRDefault="00761FBC" w:rsidP="00761FBC">
      <w:pPr>
        <w:ind w:left="2869" w:hanging="34"/>
        <w:jc w:val="both"/>
        <w:rPr>
          <w:rFonts w:ascii="Times New Roman" w:hAnsi="Times New Roman" w:cs="Times New Roman"/>
          <w:sz w:val="28"/>
          <w:szCs w:val="28"/>
        </w:rPr>
      </w:pPr>
      <w:r w:rsidRPr="00761FBC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FBC">
        <w:rPr>
          <w:rFonts w:ascii="Times New Roman" w:hAnsi="Times New Roman" w:cs="Times New Roman"/>
          <w:sz w:val="28"/>
          <w:szCs w:val="28"/>
        </w:rPr>
        <w:t>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</w:t>
      </w:r>
      <w:r w:rsidR="00C34EF1">
        <w:rPr>
          <w:rFonts w:ascii="Times New Roman" w:hAnsi="Times New Roman" w:cs="Times New Roman"/>
          <w:sz w:val="28"/>
          <w:szCs w:val="28"/>
        </w:rPr>
        <w:t>ципального образования Петров</w:t>
      </w:r>
      <w:r w:rsidRPr="00761FBC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</w:t>
      </w:r>
    </w:p>
    <w:p w:rsidR="00ED51BA" w:rsidRDefault="00ED51BA" w:rsidP="00ED5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ED51BA" w:rsidRDefault="00ED51BA" w:rsidP="00ED51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воинского захоронения или объекта (захоронения) №_____</w:t>
      </w: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D51BA" w:rsidRPr="00A705A7" w:rsidRDefault="00ED51BA" w:rsidP="00ED5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>(страна, кадастровый номер земельного у</w:t>
      </w:r>
      <w:r>
        <w:rPr>
          <w:rFonts w:ascii="Times New Roman" w:hAnsi="Times New Roman" w:cs="Times New Roman"/>
          <w:sz w:val="24"/>
          <w:szCs w:val="24"/>
        </w:rPr>
        <w:t xml:space="preserve">частка или иной государственный </w:t>
      </w:r>
      <w:r w:rsidRPr="00A705A7">
        <w:rPr>
          <w:rFonts w:ascii="Times New Roman" w:hAnsi="Times New Roman" w:cs="Times New Roman"/>
          <w:sz w:val="24"/>
          <w:szCs w:val="24"/>
        </w:rPr>
        <w:t>учетный номер (при наличии), адрес (при наличии) или местоположение)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1. Место и дата захоронения</w:t>
      </w: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D51BA" w:rsidRPr="00A705A7" w:rsidRDefault="00ED51BA" w:rsidP="00ED5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>(место, дата захоронения (создания); если на кладбище или в могиле</w:t>
      </w:r>
      <w:r w:rsidR="00C34EF1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погребены останки воинов в порядке перезахоронения, то указывается, откуда</w:t>
      </w:r>
      <w:r w:rsidR="00C34EF1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и когда они перезахоронены)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2. Вид захоронения</w:t>
      </w: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51BA" w:rsidRPr="00A705A7" w:rsidRDefault="00ED51BA" w:rsidP="00ED5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 xml:space="preserve"> (вид захоронения; период истории России, к которому относится захоронение; если захоронением является воинское кладбище или воинский участок кладбища, то указывается количество находящихся на нем братских</w:t>
      </w:r>
      <w:r w:rsidR="00C34EF1">
        <w:rPr>
          <w:rFonts w:ascii="Times New Roman" w:hAnsi="Times New Roman" w:cs="Times New Roman"/>
          <w:sz w:val="24"/>
          <w:szCs w:val="24"/>
        </w:rPr>
        <w:t xml:space="preserve">, </w:t>
      </w:r>
      <w:r w:rsidRPr="00A705A7">
        <w:rPr>
          <w:rFonts w:ascii="Times New Roman" w:hAnsi="Times New Roman" w:cs="Times New Roman"/>
          <w:sz w:val="24"/>
          <w:szCs w:val="24"/>
        </w:rPr>
        <w:t>индивидуальных могил)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3. Размеры захоронения и его состояние</w:t>
      </w: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D51BA" w:rsidRPr="00A705A7" w:rsidRDefault="00ED51BA" w:rsidP="00ED5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>(ширина и длина кладбища, воинского участка кладбища или отдельных могил,</w:t>
      </w:r>
      <w:r w:rsidR="00761FBC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наличие и тип ограждения, состояние захоронения (хорошее,</w:t>
      </w:r>
      <w:r w:rsidR="00761FBC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удовлетворительное, аварийное)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4. Краткое описание памятника (надгробия), захоронения</w:t>
      </w:r>
    </w:p>
    <w:p w:rsidR="00ED51BA" w:rsidRPr="00A705A7" w:rsidRDefault="00ED51BA" w:rsidP="00ED5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A705A7">
        <w:rPr>
          <w:rFonts w:ascii="Times New Roman" w:hAnsi="Times New Roman" w:cs="Times New Roman"/>
          <w:sz w:val="24"/>
          <w:szCs w:val="24"/>
        </w:rPr>
        <w:t xml:space="preserve"> (краткое описание, размеры, материал, из которого он изготовлен, дата</w:t>
      </w:r>
      <w:r w:rsidR="00761FBC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 xml:space="preserve">установки, фамилия и инициалы автора, </w:t>
      </w:r>
      <w:r>
        <w:rPr>
          <w:rFonts w:ascii="Times New Roman" w:hAnsi="Times New Roman" w:cs="Times New Roman"/>
          <w:sz w:val="24"/>
          <w:szCs w:val="24"/>
        </w:rPr>
        <w:t>техническое состояние памятника,</w:t>
      </w:r>
      <w:r w:rsidR="00761FBC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также сообщается о наличии мемориального сооружения, содержащего "Вечный</w:t>
      </w:r>
      <w:r w:rsidR="00761FBC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огонь" или "Огонь памяти", другие сведения)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5. Количество захороненных</w:t>
      </w:r>
    </w:p>
    <w:p w:rsidR="00ED51BA" w:rsidRPr="00497A1C" w:rsidRDefault="00ED51BA" w:rsidP="00ED51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8"/>
        <w:gridCol w:w="3235"/>
        <w:gridCol w:w="2778"/>
      </w:tblGrid>
      <w:tr w:rsidR="00ED51BA" w:rsidRPr="00497A1C" w:rsidTr="005B2B49">
        <w:tc>
          <w:tcPr>
            <w:tcW w:w="3058" w:type="dxa"/>
            <w:vMerge w:val="restart"/>
          </w:tcPr>
          <w:p w:rsidR="00ED51BA" w:rsidRPr="00497A1C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1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013" w:type="dxa"/>
            <w:gridSpan w:val="2"/>
          </w:tcPr>
          <w:p w:rsidR="00ED51BA" w:rsidRPr="00497A1C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1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ED51BA" w:rsidRPr="00497A1C" w:rsidTr="005B2B49">
        <w:tc>
          <w:tcPr>
            <w:tcW w:w="3058" w:type="dxa"/>
            <w:vMerge/>
          </w:tcPr>
          <w:p w:rsidR="00ED51BA" w:rsidRPr="00497A1C" w:rsidRDefault="00ED51BA" w:rsidP="005B2B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ED51BA" w:rsidRPr="00497A1C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1C">
              <w:rPr>
                <w:rFonts w:ascii="Times New Roman" w:hAnsi="Times New Roman" w:cs="Times New Roman"/>
                <w:sz w:val="28"/>
                <w:szCs w:val="28"/>
              </w:rPr>
              <w:t>известных</w:t>
            </w:r>
          </w:p>
        </w:tc>
        <w:tc>
          <w:tcPr>
            <w:tcW w:w="2778" w:type="dxa"/>
          </w:tcPr>
          <w:p w:rsidR="00ED51BA" w:rsidRPr="00497A1C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1C">
              <w:rPr>
                <w:rFonts w:ascii="Times New Roman" w:hAnsi="Times New Roman" w:cs="Times New Roman"/>
                <w:sz w:val="28"/>
                <w:szCs w:val="28"/>
              </w:rPr>
              <w:t>неизвестных</w:t>
            </w:r>
          </w:p>
        </w:tc>
      </w:tr>
      <w:tr w:rsidR="00ED51BA" w:rsidRPr="00497A1C" w:rsidTr="005B2B49">
        <w:tc>
          <w:tcPr>
            <w:tcW w:w="3058" w:type="dxa"/>
          </w:tcPr>
          <w:p w:rsidR="00ED51BA" w:rsidRPr="00497A1C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5" w:type="dxa"/>
          </w:tcPr>
          <w:p w:rsidR="00ED51BA" w:rsidRPr="00497A1C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ED51BA" w:rsidRPr="00497A1C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Pr="00A705A7" w:rsidRDefault="00ED51BA" w:rsidP="00ED5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>(общее количество захоро</w:t>
      </w:r>
      <w:r>
        <w:rPr>
          <w:rFonts w:ascii="Times New Roman" w:hAnsi="Times New Roman" w:cs="Times New Roman"/>
          <w:sz w:val="24"/>
          <w:szCs w:val="24"/>
        </w:rPr>
        <w:t>ненных, в том числе (при наличии</w:t>
      </w:r>
      <w:r w:rsidRPr="00A705A7">
        <w:rPr>
          <w:rFonts w:ascii="Times New Roman" w:hAnsi="Times New Roman" w:cs="Times New Roman"/>
          <w:sz w:val="24"/>
          <w:szCs w:val="24"/>
        </w:rPr>
        <w:t xml:space="preserve"> данных) отдельно военнослужащих, партизан, участников движения сопротивления, военнопленных, воинов-интернационалистов)</w:t>
      </w: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   6. Сведения о захороненных</w:t>
      </w:r>
    </w:p>
    <w:p w:rsidR="00ED51BA" w:rsidRPr="00497A1C" w:rsidRDefault="00ED51BA" w:rsidP="00ED51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1632"/>
        <w:gridCol w:w="1125"/>
        <w:gridCol w:w="1559"/>
        <w:gridCol w:w="794"/>
        <w:gridCol w:w="1104"/>
        <w:gridCol w:w="1854"/>
        <w:gridCol w:w="1038"/>
      </w:tblGrid>
      <w:tr w:rsidR="00ED51BA" w:rsidRPr="00D34F85" w:rsidTr="005B2B49">
        <w:tc>
          <w:tcPr>
            <w:tcW w:w="499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2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Должность, подразделение/воинская часть</w:t>
            </w:r>
          </w:p>
        </w:tc>
        <w:tc>
          <w:tcPr>
            <w:tcW w:w="1125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559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Фамилия имя, отчество</w:t>
            </w:r>
          </w:p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79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0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Дата гибели</w:t>
            </w:r>
          </w:p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(смерти)</w:t>
            </w:r>
          </w:p>
        </w:tc>
        <w:tc>
          <w:tcPr>
            <w:tcW w:w="185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Место захоронения на кладбище, участке кладбища</w:t>
            </w:r>
          </w:p>
        </w:tc>
        <w:tc>
          <w:tcPr>
            <w:tcW w:w="1038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Откуда перезахоронен</w:t>
            </w:r>
          </w:p>
        </w:tc>
      </w:tr>
      <w:tr w:rsidR="00ED51BA" w:rsidRPr="00D34F85" w:rsidTr="005B2B49">
        <w:tc>
          <w:tcPr>
            <w:tcW w:w="499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17"/>
            <w:bookmarkEnd w:id="1"/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51BA" w:rsidRPr="00D34F85" w:rsidTr="005B2B49">
        <w:tc>
          <w:tcPr>
            <w:tcW w:w="499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BA" w:rsidRPr="00D34F85" w:rsidTr="005B2B49">
        <w:tc>
          <w:tcPr>
            <w:tcW w:w="499" w:type="dxa"/>
          </w:tcPr>
          <w:p w:rsidR="00ED51BA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32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D51BA" w:rsidRPr="00D34F85" w:rsidRDefault="00ED51BA" w:rsidP="005B2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1BA" w:rsidRPr="00497A1C" w:rsidRDefault="00ED51BA" w:rsidP="00ED51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Pr="00A705A7" w:rsidRDefault="00ED51BA" w:rsidP="00ED5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>(вносятся достоверно установленные сведения о каждом из захороненных; если</w:t>
      </w:r>
      <w:r w:rsidR="00761FBC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эти сведения имеются более чем на 10 захороненных, то на них составляется</w:t>
      </w:r>
      <w:r w:rsidR="00761FBC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список захороненных (в том числе в электронной форме), который прилагается</w:t>
      </w:r>
      <w:r w:rsidR="00C34EF1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 xml:space="preserve">к паспорту в качестве вкладыша, а в </w:t>
      </w:r>
      <w:hyperlink w:anchor="P117">
        <w:r w:rsidRPr="00E50A95">
          <w:rPr>
            <w:rFonts w:ascii="Times New Roman" w:hAnsi="Times New Roman" w:cs="Times New Roman"/>
            <w:sz w:val="24"/>
            <w:szCs w:val="24"/>
          </w:rPr>
          <w:t>графе 4</w:t>
        </w:r>
      </w:hyperlink>
      <w:r w:rsidR="00C34EF1">
        <w:rPr>
          <w:rFonts w:ascii="Times New Roman" w:hAnsi="Times New Roman" w:cs="Times New Roman"/>
          <w:sz w:val="24"/>
          <w:szCs w:val="24"/>
        </w:rPr>
        <w:t xml:space="preserve"> делается запись: «</w:t>
      </w:r>
      <w:r w:rsidRPr="00A705A7">
        <w:rPr>
          <w:rFonts w:ascii="Times New Roman" w:hAnsi="Times New Roman" w:cs="Times New Roman"/>
          <w:sz w:val="24"/>
          <w:szCs w:val="24"/>
        </w:rPr>
        <w:t>Согласно</w:t>
      </w:r>
      <w:r w:rsidR="00761FBC">
        <w:rPr>
          <w:rFonts w:ascii="Times New Roman" w:hAnsi="Times New Roman" w:cs="Times New Roman"/>
          <w:sz w:val="24"/>
          <w:szCs w:val="24"/>
        </w:rPr>
        <w:t xml:space="preserve"> </w:t>
      </w:r>
      <w:r w:rsidR="00E115FD">
        <w:rPr>
          <w:rFonts w:ascii="Times New Roman" w:hAnsi="Times New Roman" w:cs="Times New Roman"/>
          <w:sz w:val="24"/>
          <w:szCs w:val="24"/>
        </w:rPr>
        <w:t>прилагаемому списку»</w:t>
      </w:r>
      <w:r w:rsidRPr="00A705A7">
        <w:rPr>
          <w:rFonts w:ascii="Times New Roman" w:hAnsi="Times New Roman" w:cs="Times New Roman"/>
          <w:sz w:val="24"/>
          <w:szCs w:val="24"/>
        </w:rPr>
        <w:t>)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7.  Сведения об организациях, осуществляющих шефство над воинским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захоронением (оказывающих помощь в его благоустройстве и содержании)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8.   Фотоснимок захоронения (или его основной части с памятником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(надгробием), сделанный в летнее время года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9.   Схема (координаты, в том числе ГЛОНАСС (GPS) расположения</w:t>
      </w: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захоронения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D51BA" w:rsidRPr="00A705A7" w:rsidRDefault="00ED51BA" w:rsidP="00ED5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5A7">
        <w:rPr>
          <w:rFonts w:ascii="Times New Roman" w:hAnsi="Times New Roman" w:cs="Times New Roman"/>
          <w:sz w:val="24"/>
          <w:szCs w:val="24"/>
        </w:rPr>
        <w:t xml:space="preserve"> (наносится схема расположения, ориентированная с юга на север относительно</w:t>
      </w:r>
      <w:r w:rsidRPr="00ED51BA">
        <w:rPr>
          <w:rFonts w:ascii="Times New Roman" w:hAnsi="Times New Roman" w:cs="Times New Roman"/>
          <w:sz w:val="24"/>
          <w:szCs w:val="24"/>
        </w:rPr>
        <w:t xml:space="preserve"> </w:t>
      </w:r>
      <w:r w:rsidRPr="00A705A7">
        <w:rPr>
          <w:rFonts w:ascii="Times New Roman" w:hAnsi="Times New Roman" w:cs="Times New Roman"/>
          <w:sz w:val="24"/>
          <w:szCs w:val="24"/>
        </w:rPr>
        <w:t>объектов местности, с указанием подъездных путей к захоронению)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>10. Дополнительная информация о захоронении</w:t>
      </w: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 11. Подписи заинтересованных должностных лиц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0" w:type="dxa"/>
        <w:tblLook w:val="04A0" w:firstRow="1" w:lastRow="0" w:firstColumn="1" w:lastColumn="0" w:noHBand="0" w:noVBand="1"/>
      </w:tblPr>
      <w:tblGrid>
        <w:gridCol w:w="3823"/>
        <w:gridCol w:w="567"/>
        <w:gridCol w:w="1559"/>
        <w:gridCol w:w="426"/>
        <w:gridCol w:w="3115"/>
      </w:tblGrid>
      <w:tr w:rsidR="00ED51BA" w:rsidTr="00ED51BA">
        <w:tc>
          <w:tcPr>
            <w:tcW w:w="3823" w:type="dxa"/>
          </w:tcPr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1BA" w:rsidRPr="00ED51BA" w:rsidRDefault="00ED51BA" w:rsidP="00ED51B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ED51BA" w:rsidRPr="00ED51BA" w:rsidRDefault="00E115FD" w:rsidP="00ED51B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  <w:r w:rsidR="00ED51B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r w:rsidR="00ED51BA" w:rsidRPr="00ED51B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  <w:p w:rsidR="00ED51BA" w:rsidRPr="00ED51BA" w:rsidRDefault="00ED51BA" w:rsidP="00ED51B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Саракташского района </w:t>
            </w:r>
          </w:p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                  </w:t>
            </w:r>
          </w:p>
        </w:tc>
        <w:tc>
          <w:tcPr>
            <w:tcW w:w="567" w:type="dxa"/>
          </w:tcPr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51BA" w:rsidRPr="00ED51BA" w:rsidRDefault="00ED51BA" w:rsidP="00ED51BA">
            <w:pPr>
              <w:pStyle w:val="ConsPlusNonformat"/>
              <w:widowControl w:val="0"/>
              <w:ind w:left="-245" w:firstLine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1BA" w:rsidRPr="0031708B" w:rsidTr="00ED51BA">
        <w:tc>
          <w:tcPr>
            <w:tcW w:w="3823" w:type="dxa"/>
          </w:tcPr>
          <w:p w:rsidR="00ED51BA" w:rsidRPr="00ED51BA" w:rsidRDefault="00ED51BA" w:rsidP="00ED51B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1BA" w:rsidRPr="00ED51BA" w:rsidRDefault="00ED51BA" w:rsidP="00ED51B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51BA" w:rsidRPr="00ED51BA" w:rsidRDefault="00ED51BA" w:rsidP="00ED51B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B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26" w:type="dxa"/>
          </w:tcPr>
          <w:p w:rsidR="00ED51BA" w:rsidRPr="00ED51BA" w:rsidRDefault="00ED51BA" w:rsidP="00ED51BA">
            <w:pPr>
              <w:pStyle w:val="ConsPlusNonformat"/>
              <w:widowControl w:val="0"/>
              <w:ind w:left="-245"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D51BA" w:rsidRPr="00ED51BA" w:rsidRDefault="00ED51BA" w:rsidP="00ED51B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BA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</w:tbl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   "__"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97A1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Pr="00497A1C">
        <w:rPr>
          <w:rFonts w:ascii="Times New Roman" w:hAnsi="Times New Roman" w:cs="Times New Roman"/>
          <w:sz w:val="28"/>
          <w:szCs w:val="28"/>
        </w:rPr>
        <w:t>г.</w:t>
      </w: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0" w:type="dxa"/>
        <w:tblLook w:val="04A0" w:firstRow="1" w:lastRow="0" w:firstColumn="1" w:lastColumn="0" w:noHBand="0" w:noVBand="1"/>
      </w:tblPr>
      <w:tblGrid>
        <w:gridCol w:w="3823"/>
        <w:gridCol w:w="567"/>
        <w:gridCol w:w="1559"/>
        <w:gridCol w:w="426"/>
        <w:gridCol w:w="3115"/>
      </w:tblGrid>
      <w:tr w:rsidR="00ED51BA" w:rsidTr="00ED51BA">
        <w:tc>
          <w:tcPr>
            <w:tcW w:w="3823" w:type="dxa"/>
          </w:tcPr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1BA">
              <w:rPr>
                <w:rFonts w:ascii="Times New Roman" w:hAnsi="Times New Roman" w:cs="Times New Roman"/>
                <w:sz w:val="28"/>
                <w:szCs w:val="28"/>
              </w:rPr>
              <w:t>Военный комиссар Саракташского и Беляевского районов</w:t>
            </w:r>
          </w:p>
        </w:tc>
        <w:tc>
          <w:tcPr>
            <w:tcW w:w="567" w:type="dxa"/>
          </w:tcPr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51BA" w:rsidRPr="00ED51BA" w:rsidRDefault="00ED51BA" w:rsidP="00ED51BA">
            <w:pPr>
              <w:pStyle w:val="ConsPlusNonformat"/>
              <w:widowControl w:val="0"/>
              <w:ind w:left="-245" w:firstLine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D51BA" w:rsidRPr="00ED51BA" w:rsidRDefault="00ED51BA" w:rsidP="00ED51BA">
            <w:pPr>
              <w:pStyle w:val="ConsPlusNonformat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1BA" w:rsidTr="00ED51BA">
        <w:tc>
          <w:tcPr>
            <w:tcW w:w="3823" w:type="dxa"/>
          </w:tcPr>
          <w:p w:rsidR="00ED51BA" w:rsidRPr="00ED51BA" w:rsidRDefault="00ED51BA" w:rsidP="00ED51B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1BA" w:rsidRPr="00ED51BA" w:rsidRDefault="00ED51BA" w:rsidP="00ED51B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51BA" w:rsidRPr="00ED51BA" w:rsidRDefault="00ED51BA" w:rsidP="00ED51B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B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26" w:type="dxa"/>
          </w:tcPr>
          <w:p w:rsidR="00ED51BA" w:rsidRPr="00ED51BA" w:rsidRDefault="00ED51BA" w:rsidP="00ED51BA">
            <w:pPr>
              <w:pStyle w:val="ConsPlusNonformat"/>
              <w:widowControl w:val="0"/>
              <w:ind w:left="-245"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D51BA" w:rsidRPr="00ED51BA" w:rsidRDefault="00ED51BA" w:rsidP="00ED51B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BA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</w:tbl>
    <w:p w:rsidR="00ED51BA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ED51BA" w:rsidRPr="00497A1C" w:rsidRDefault="00ED51BA" w:rsidP="00ED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A1C">
        <w:rPr>
          <w:rFonts w:ascii="Times New Roman" w:hAnsi="Times New Roman" w:cs="Times New Roman"/>
          <w:sz w:val="28"/>
          <w:szCs w:val="28"/>
        </w:rPr>
        <w:t xml:space="preserve">    "__"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97A1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Pr="00497A1C">
        <w:rPr>
          <w:rFonts w:ascii="Times New Roman" w:hAnsi="Times New Roman" w:cs="Times New Roman"/>
          <w:sz w:val="28"/>
          <w:szCs w:val="28"/>
        </w:rPr>
        <w:t>г.</w:t>
      </w:r>
    </w:p>
    <w:p w:rsidR="00ED51BA" w:rsidRPr="00497A1C" w:rsidRDefault="00ED51BA" w:rsidP="00ED51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51BA" w:rsidRPr="00497A1C" w:rsidRDefault="00ED51BA" w:rsidP="00ED51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3DB5" w:rsidRDefault="00863DB5" w:rsidP="00863DB5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FA1BC5" w:rsidRPr="008E150E" w:rsidRDefault="00FA1BC5" w:rsidP="00EB0E34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sectPr w:rsidR="00FA1BC5" w:rsidRPr="008E150E" w:rsidSect="00ED51BA">
      <w:pgSz w:w="11907" w:h="16840" w:code="9"/>
      <w:pgMar w:top="1134" w:right="851" w:bottom="1134" w:left="1701" w:header="284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74D" w:rsidRDefault="008A074D">
      <w:r>
        <w:separator/>
      </w:r>
    </w:p>
  </w:endnote>
  <w:endnote w:type="continuationSeparator" w:id="0">
    <w:p w:rsidR="008A074D" w:rsidRDefault="008A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74D" w:rsidRDefault="008A074D">
      <w:r>
        <w:separator/>
      </w:r>
    </w:p>
  </w:footnote>
  <w:footnote w:type="continuationSeparator" w:id="0">
    <w:p w:rsidR="008A074D" w:rsidRDefault="008A0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084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633" w:rsidRDefault="00E3063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6E5">
      <w:rPr>
        <w:noProof/>
      </w:rPr>
      <w:t>2</w:t>
    </w:r>
    <w:r>
      <w:fldChar w:fldCharType="end"/>
    </w:r>
  </w:p>
  <w:p w:rsidR="00E30633" w:rsidRDefault="00E306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2D263786"/>
    <w:multiLevelType w:val="hybridMultilevel"/>
    <w:tmpl w:val="FB00B96A"/>
    <w:lvl w:ilvl="0" w:tplc="3EA6B6D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1255D"/>
    <w:multiLevelType w:val="hybridMultilevel"/>
    <w:tmpl w:val="0E346312"/>
    <w:lvl w:ilvl="0" w:tplc="9DD4399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575C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2382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6C6D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2459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E7EBE"/>
    <w:rsid w:val="003F0163"/>
    <w:rsid w:val="003F0D99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13AB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0D1A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353DA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B66"/>
    <w:rsid w:val="005A6E28"/>
    <w:rsid w:val="005B10D8"/>
    <w:rsid w:val="005B1720"/>
    <w:rsid w:val="005B2B49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856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2F"/>
    <w:rsid w:val="00656D34"/>
    <w:rsid w:val="00656F77"/>
    <w:rsid w:val="006576A5"/>
    <w:rsid w:val="00660B15"/>
    <w:rsid w:val="006626A3"/>
    <w:rsid w:val="00666EA8"/>
    <w:rsid w:val="00667469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162"/>
    <w:rsid w:val="006A762A"/>
    <w:rsid w:val="006B1A0E"/>
    <w:rsid w:val="006B35BD"/>
    <w:rsid w:val="006B4CE5"/>
    <w:rsid w:val="006B4E26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66E5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1FBC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97A2B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C88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195"/>
    <w:rsid w:val="00897D76"/>
    <w:rsid w:val="008A0353"/>
    <w:rsid w:val="008A074D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5B1E"/>
    <w:rsid w:val="00967C66"/>
    <w:rsid w:val="0097119C"/>
    <w:rsid w:val="009725CE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1D69"/>
    <w:rsid w:val="00AB2445"/>
    <w:rsid w:val="00AB263F"/>
    <w:rsid w:val="00AB26DE"/>
    <w:rsid w:val="00AB286C"/>
    <w:rsid w:val="00AB2C08"/>
    <w:rsid w:val="00AB47C3"/>
    <w:rsid w:val="00AB5A96"/>
    <w:rsid w:val="00AB5F25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1C99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09A6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35EC"/>
    <w:rsid w:val="00BA483A"/>
    <w:rsid w:val="00BA4901"/>
    <w:rsid w:val="00BA50EB"/>
    <w:rsid w:val="00BA533F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00CC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3C38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0E63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41E1"/>
    <w:rsid w:val="00C34EF1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34B2"/>
    <w:rsid w:val="00D0497D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0F2C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1282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4D54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B7290"/>
    <w:rsid w:val="00DC3926"/>
    <w:rsid w:val="00DC7813"/>
    <w:rsid w:val="00DC7BBD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5FD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1309"/>
    <w:rsid w:val="00E63507"/>
    <w:rsid w:val="00E6380B"/>
    <w:rsid w:val="00E67497"/>
    <w:rsid w:val="00E7026F"/>
    <w:rsid w:val="00E70F34"/>
    <w:rsid w:val="00E710A3"/>
    <w:rsid w:val="00E743D0"/>
    <w:rsid w:val="00E7457D"/>
    <w:rsid w:val="00E767F5"/>
    <w:rsid w:val="00E81285"/>
    <w:rsid w:val="00E81F3B"/>
    <w:rsid w:val="00E8206B"/>
    <w:rsid w:val="00E835BA"/>
    <w:rsid w:val="00E83D34"/>
    <w:rsid w:val="00E8515D"/>
    <w:rsid w:val="00E86678"/>
    <w:rsid w:val="00E87F89"/>
    <w:rsid w:val="00E92877"/>
    <w:rsid w:val="00E92989"/>
    <w:rsid w:val="00E92FB2"/>
    <w:rsid w:val="00E94F95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23BB"/>
    <w:rsid w:val="00ED2A03"/>
    <w:rsid w:val="00ED4752"/>
    <w:rsid w:val="00ED51BA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0C8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2BE005-959C-42DD-BD96-06B90E5B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uiPriority w:val="39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DC7BB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revlinks-hidden">
    <w:name w:val="rev_links-hidden"/>
    <w:rsid w:val="00C20E63"/>
    <w:rPr>
      <w:rFonts w:cs="Times New Roman"/>
    </w:rPr>
  </w:style>
  <w:style w:type="paragraph" w:styleId="af3">
    <w:name w:val="No Spacing"/>
    <w:uiPriority w:val="1"/>
    <w:qFormat/>
    <w:rsid w:val="00D8128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17037</CharactersWithSpaces>
  <SharedDoc>false</SharedDoc>
  <HLinks>
    <vt:vector size="6" baseType="variant">
      <vt:variant>
        <vt:i4>393281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subject/>
  <dc:creator>Office 12</dc:creator>
  <cp:keywords/>
  <cp:lastModifiedBy>Пользователь Windows</cp:lastModifiedBy>
  <cp:revision>2</cp:revision>
  <cp:lastPrinted>2023-06-09T09:52:00Z</cp:lastPrinted>
  <dcterms:created xsi:type="dcterms:W3CDTF">2023-07-14T05:01:00Z</dcterms:created>
  <dcterms:modified xsi:type="dcterms:W3CDTF">2023-07-14T05:01:00Z</dcterms:modified>
</cp:coreProperties>
</file>